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.3937007874016" w:right="-562.7952755905511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RECURSO À DECISÃO DA COMISSÃO DE HETEROIDENTIFICAÇÃO</w:t>
      </w:r>
    </w:p>
    <w:p w:rsidR="00000000" w:rsidDel="00000000" w:rsidP="00000000" w:rsidRDefault="00000000" w:rsidRPr="00000000" w14:paraId="00000002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.3937007874016" w:right="-562.7952755905511" w:firstLine="0"/>
        <w:jc w:val="center"/>
        <w:rPr>
          <w:rFonts w:ascii="Calibri" w:cs="Calibri" w:eastAsia="Calibri" w:hAnsi="Calibri"/>
          <w:b w:val="1"/>
          <w:color w:val="ffffff"/>
          <w:shd w:fill="38761d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PARTICIPANTE DA FORMAÇÃO DE PROFESSORES-FACILITADORES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Recursal do processo de Heteroidentificação, eu , …………………………………, sob o CPF nº ……., sob pena das sanções civis e criminais cabíveis, apresento pedido de reconsideração contra resultado do procedimento de heteroidentificação da Chamada Pública Simplificada Edital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nº 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baseado nos argumentos que exponho abaixo: 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___________________________, ___/___/202___.</w:t>
      </w:r>
    </w:p>
    <w:p w:rsidR="00000000" w:rsidDel="00000000" w:rsidP="00000000" w:rsidRDefault="00000000" w:rsidRPr="00000000" w14:paraId="0000001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do(a) requerente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/>
      <w:pict>
        <v:shape id="WordPictureWatermark1" style="position:absolute;width:451.27559055118104pt;height:118.45984251968504pt;rotation:0;z-index:-503316481;mso-position-horizontal-relative:margin;mso-position-horizontal:absolute;margin-left:-21.862204724409448pt;mso-position-vertical-relative:margin;mso-position-vertical:absolute;margin-top:-95.05511811023622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Bj3Puya8t64iWWiJT/iu+HmIRA==">CgMxLjA4AHIhMVp2a2FfUUpCLXJkS21pOHE3eTJ1NXVxemVlTXZTY25R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