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b w:val="1"/>
          <w:smallCaps w:val="1"/>
          <w:color w:val="266e8b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bookmarkStart w:colFirst="0" w:colLast="0" w:name="_s71tbuwdhtm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Fundação Escola Nacional de Administração Pública - Enap convida para seleção de Diretor(a) de Gestão Interna</w:t>
      </w:r>
    </w:p>
    <w:p w:rsidR="00000000" w:rsidDel="00000000" w:rsidP="00000000" w:rsidRDefault="00000000" w:rsidRPr="00000000" w14:paraId="00000003">
      <w:pPr>
        <w:jc w:val="center"/>
        <w:rPr>
          <w:color w:val="266e8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Sobre o 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Diretor de Gestão Interna é um cargo comissionado de Direção e Assessoramento Superior (DAS) 101.5 da Escola Nacional de Administração Pública - Enap.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O profissional responde ao Presidente da Escola e é responsável pela gestão de 4 coordenações gerais, com aproximadamente 150 </w:t>
      </w:r>
      <w:r w:rsidDel="00000000" w:rsidR="00000000" w:rsidRPr="00000000">
        <w:rPr>
          <w:rtl w:val="0"/>
        </w:rPr>
        <w:t xml:space="preserve">pessoas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240" w:line="276" w:lineRule="auto"/>
        <w:ind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-752474</wp:posOffset>
            </wp:positionH>
            <wp:positionV relativeFrom="paragraph">
              <wp:posOffset>114300</wp:posOffset>
            </wp:positionV>
            <wp:extent cx="7314438" cy="409860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592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4438" cy="40986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Atribuições do cargo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.20000000000005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Monitorar o alinhamento entre as atividades da Diretoria de Gestão Interna - DGI e o planejamento estratégico da Enap.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.20000000000005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Articular e negociar internamente ações necessárias à execução das atividades da Diretoria e ao desenvolvimento institucional da Enap.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Orientar e supervisionar as </w:t>
      </w:r>
      <w:hyperlink r:id="rId7">
        <w:r w:rsidDel="00000000" w:rsidR="00000000" w:rsidRPr="00000000">
          <w:rPr>
            <w:rtl w:val="0"/>
          </w:rPr>
          <w:t xml:space="preserve"> 4 Coordenações Gerais </w:t>
        </w:r>
      </w:hyperlink>
      <w:r w:rsidDel="00000000" w:rsidR="00000000" w:rsidRPr="00000000">
        <w:rPr>
          <w:rtl w:val="0"/>
        </w:rPr>
        <w:t xml:space="preserve">que compõem a Diretoria, nas atividades referentes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Gestão de pessoas;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Manutenção da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Organização e modernização administrativa;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Acervo documental da Escola;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Tecnologia da informação com foco no usuário interno e externo;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Orçamento, contabilidade e finanças, garantindo eficiência e utilização correta de recursos;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Logística;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Secretaria escolar e eventos da Escola;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Contratos e processos licitatórios;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76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Realizar a gestão do patrimônio mobiliário e imobiliário.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Principais entregas esperadas para a posição</w:t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Gestão eficiente dos recursos orçamentários, financeiros, tecnológicos e patrimoniais, com a otimização das despesas, a melhoria da integração entre as áreas finalísticas e a ampliação do grau de satisfação com os serviços e produtos da Escola.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Implantação do modelo de contabilidade gerencial para 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.20000000000005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30j0zll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Visão de futuro para a </w:t>
      </w: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60" w:before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Reestruturar o modelo de gestão interna da Escola, para que ela se consolide como o espaço onde o setor público se transforma em competência, conhecimento, inovação, atitude, resultado e valor.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bookmarkStart w:colFirst="0" w:colLast="0" w:name="_1fob9te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Perfil desejado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 profissional precisa ter disposição para lidar com desafios, capacidade para buscar soluções, resolver problemas e agilidade para tomar decisões. Deve prezar pela utilização eficiente do recurso, ter proatividade e capacidade de transitar em vários ambientes uma vez que atuará em uma área transversal, para qual é exigida capacidade de articulação e negociação.</w:t>
      </w:r>
    </w:p>
    <w:p w:rsidR="00000000" w:rsidDel="00000000" w:rsidP="00000000" w:rsidRDefault="00000000" w:rsidRPr="00000000" w14:paraId="0000002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Competências</w:t>
      </w:r>
    </w:p>
    <w:tbl>
      <w:tblPr>
        <w:tblStyle w:val="Table1"/>
        <w:tblW w:w="94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0"/>
        <w:gridCol w:w="6345"/>
        <w:tblGridChange w:id="0">
          <w:tblGrid>
            <w:gridCol w:w="3090"/>
            <w:gridCol w:w="6345"/>
          </w:tblGrid>
        </w:tblGridChange>
      </w:tblGrid>
      <w:tr>
        <w:tc>
          <w:tcPr>
            <w:tcBorders>
              <w:top w:color="f3f3f3" w:space="0" w:sz="4" w:val="single"/>
              <w:left w:color="f3f3f3" w:space="0" w:sz="4" w:val="single"/>
              <w:bottom w:color="f3f3f3" w:space="0" w:sz="18" w:val="single"/>
              <w:right w:color="f3f3f3" w:space="0" w:sz="4" w:val="single"/>
            </w:tcBorders>
            <w:shd w:fill="266e8b" w:val="clear"/>
          </w:tcPr>
          <w:p w:rsidR="00000000" w:rsidDel="00000000" w:rsidP="00000000" w:rsidRDefault="00000000" w:rsidRPr="00000000" w14:paraId="00000022">
            <w:pPr>
              <w:spacing w:after="120" w:before="0" w:line="240" w:lineRule="auto"/>
              <w:ind w:right="1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Competência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18" w:val="single"/>
              <w:right w:color="f3f3f3" w:space="0" w:sz="4" w:val="single"/>
            </w:tcBorders>
            <w:shd w:fill="266e8b" w:val="clear"/>
          </w:tcPr>
          <w:p w:rsidR="00000000" w:rsidDel="00000000" w:rsidP="00000000" w:rsidRDefault="00000000" w:rsidRPr="00000000" w14:paraId="00000023">
            <w:pPr>
              <w:spacing w:after="120" w:before="0" w:line="240" w:lineRule="auto"/>
              <w:ind w:right="1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Descrição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4">
            <w:pPr>
              <w:spacing w:after="120" w:before="0" w:line="276" w:lineRule="auto"/>
              <w:ind w:right="1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Orientação por valores éticos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Age de acordo com princípios e valores morais que norteiam o exercício da função pública tais como responsabilidade, integridade, retidão, transparência e equidade na gestão pública. 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Articulação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Cria e mantém redes de suporte e cooperação com atores intra e interorganizacionais para o alcance de objetivos comuns e para fortalecer a imagem da Enap com a Administração Pública e a sociedade.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Gestão de Equipe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Planeja, executa, avalia, comunica e delega atividades e projetos de acordo com os objetivos da Escola e competências de cada membro da equipe. Proporciona um ambiente favorável às mudanças, desenvolvendo constantemente a equipe por meio das melhores estratégias de aprendizagem para cada caso. 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Visão de Negócio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Planeja, executa e monitora as estratégias da Enap, a partir da compreensão do dinamismo da gestão do ensino, as inter-relações com os alunos, os professores, os servidores, a sociedade e a Administração Pública, aprimorando a atuação da Escola junto a eles. 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Comunicação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Expressa-se de forma clara, precisa e objetiva, tanto verbalmente quanto por escrito, utilizando recursos eficazes para uma boa comunicação. Sabe ouvir atentamente e argumentar com coerência, facilitando a interação entre as partes. 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Solução de Problemas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Age ativamente diante dos problemas, com base em seu conhecimento e experiência profissional, para solucioná-los de forma responsável e inovadora. Cria, integra e compartilha os conhecimentos gerados, estimulando seu uso, reuso e redistribuição. </w:t>
            </w:r>
          </w:p>
        </w:tc>
      </w:tr>
    </w:tbl>
    <w:p w:rsidR="00000000" w:rsidDel="00000000" w:rsidP="00000000" w:rsidRDefault="00000000" w:rsidRPr="00000000" w14:paraId="0000003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Conheça mais sobre 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perfil da posição</w:t>
        </w:r>
      </w:hyperlink>
      <w:r w:rsidDel="00000000" w:rsidR="00000000" w:rsidRPr="00000000">
        <w:rPr>
          <w:rtl w:val="0"/>
        </w:rPr>
        <w:t xml:space="preserve"> elaborado de acordo com </w:t>
      </w:r>
      <w:hyperlink r:id="rId9">
        <w:r w:rsidDel="00000000" w:rsidR="00000000" w:rsidRPr="00000000">
          <w:rPr>
            <w:i w:val="1"/>
            <w:color w:val="1155cc"/>
            <w:sz w:val="24"/>
            <w:szCs w:val="24"/>
            <w:highlight w:val="white"/>
            <w:u w:val="single"/>
            <w:rtl w:val="0"/>
          </w:rPr>
          <w:t xml:space="preserve">portaria nº 13.400, de 6 de dezembro de 2019, da Secretaria de Desburocratização, Gestão e Governo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Pré-Requisitos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283" w:right="0" w:hanging="28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  <w:rtl w:val="0"/>
        </w:rPr>
        <w:t xml:space="preserve">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ter idoneidade moral e reputação ilibada;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possuir perfil profissional ou formação acadêmica compatível com as atribuições gerais previstas neste </w:t>
      </w:r>
      <w:r w:rsidDel="00000000" w:rsidR="00000000" w:rsidRPr="00000000">
        <w:rPr>
          <w:rtl w:val="0"/>
        </w:rPr>
        <w:t xml:space="preserve">regulamento</w:t>
      </w:r>
      <w:r w:rsidDel="00000000" w:rsidR="00000000" w:rsidRPr="00000000">
        <w:rPr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não se enquadrar nas hipóteses de inelegibilidade previstas no inciso I do caput do art. 1º da Lei Complementar nº 64, de 18 de maio de 1990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283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6e8b"/>
          <w:sz w:val="26"/>
          <w:szCs w:val="26"/>
          <w:u w:val="none"/>
          <w:shd w:fill="auto" w:val="clear"/>
          <w:vertAlign w:val="baseline"/>
          <w:rtl w:val="0"/>
        </w:rPr>
        <w:t xml:space="preserve">Específicos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Ter ocupado cargo em comissão ou função de confiança equivalente a DAS de nível 3 ou superior, em qualquer Poder, inclusive na administração pública indireta, de qualquer ente federativo por, no mínimo, três anos, gerenciando equipes de, no mínimo, 10 pessoas.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Conhecimento sobre processo orçamentário público federal.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Conhecimento em contabilidade pública gerencial. </w:t>
      </w:r>
    </w:p>
    <w:p w:rsidR="00000000" w:rsidDel="00000000" w:rsidP="00000000" w:rsidRDefault="00000000" w:rsidRPr="00000000" w14:paraId="0000003D">
      <w:pPr>
        <w:spacing w:after="0" w:line="240" w:lineRule="auto"/>
        <w:ind w:right="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266e8b"/>
          <w:sz w:val="32"/>
          <w:szCs w:val="32"/>
        </w:rPr>
      </w:pP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Qualificações e experiências desejáveis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MBA em Gestão de Processos, Economia ou Finanças.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Certificação em 6 Sigma.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Possuir experiência profissional de, no mínimo, três anos em atividades correlatas às áreas relacionadas às atribuições e às competências do cargo em comissão.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bookmarkStart w:colFirst="0" w:colLast="0" w:name="_3znysh7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Quem pode participar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right="120" w:firstLine="15"/>
        <w:jc w:val="both"/>
        <w:rPr/>
      </w:pPr>
      <w:r w:rsidDel="00000000" w:rsidR="00000000" w:rsidRPr="00000000">
        <w:rPr>
          <w:rtl w:val="0"/>
        </w:rPr>
        <w:t xml:space="preserve">Este processo seletivo é aberto a servidores públicos de qualquer das esferas e Poderes, bem como profissionais sem vínculo com a administração pública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com formação em nível superior</w:t>
      </w:r>
      <w:r w:rsidDel="00000000" w:rsidR="00000000" w:rsidRPr="00000000">
        <w:rPr>
          <w:rtl w:val="0"/>
        </w:rPr>
        <w:t xml:space="preserve">, que tenham disponibilidade para residir em Brasília/DF.</w:t>
      </w:r>
    </w:p>
    <w:p w:rsidR="00000000" w:rsidDel="00000000" w:rsidP="00000000" w:rsidRDefault="00000000" w:rsidRPr="00000000" w14:paraId="00000044">
      <w:pPr>
        <w:keepNext w:val="1"/>
        <w:keepLines w:val="1"/>
        <w:spacing w:before="240" w:line="259.20000000000005" w:lineRule="auto"/>
        <w:rPr/>
      </w:pP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Remuneração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Remuneração mensal de R$ 13.623,39 (DAS 101.5). Servidores públicos ocupantes de cargos e funções comissionadas no âmbito da administração pública federal direta, autárquica e fundacional devem observar o disposto no art. 2º da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Lei nº 11.526/2007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Caso o selecionado resida fora de Brasília, receberá ajuda de custos para mudança referente a uma remuneração mensal, e auxílio moradia correspondente a 25% do DAS.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Informações gerais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despesas decorrentes da participação em todas as etapas e procedimentos desta pré-seleção são de responsabilidade do participante.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etapas presenciais ocorrerão em Brasília/DF.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Todas as informações sobre o processo seletivo serão divulgadas no site da Enap </w:t>
      </w:r>
      <w:r w:rsidDel="00000000" w:rsidR="00000000" w:rsidRPr="00000000">
        <w:rPr>
          <w:color w:val="1155cc"/>
          <w:u w:val="single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https://www.enap.gov.br/pt/servicos/processos-seletivos</w:t>
        </w:r>
      </w:hyperlink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  <w:t xml:space="preserve"> É de responsabilidade do participante o acompanhamento do andamento da pré-seleção e do cronograma atualizado do processo.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Em caso de dúvidas e esclarecimentos, entre em contato com o nosso atendimento: </w:t>
      </w:r>
      <w:r w:rsidDel="00000000" w:rsidR="00000000" w:rsidRPr="00000000">
        <w:rPr>
          <w:rtl w:val="0"/>
        </w:rPr>
        <w:t xml:space="preserve">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https://cse.enap.gov.br/citsmart/login/login.load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Inscrição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u w:val="single"/>
          <w:rtl w:val="0"/>
        </w:rPr>
        <w:t xml:space="preserve">Onde</w:t>
      </w:r>
      <w:r w:rsidDel="00000000" w:rsidR="00000000" w:rsidRPr="00000000">
        <w:rPr>
          <w:color w:val="000000"/>
          <w:rtl w:val="0"/>
        </w:rPr>
        <w:t xml:space="preserve">: Exclusivamente, via </w:t>
      </w:r>
      <w:r w:rsidDel="00000000" w:rsidR="00000000" w:rsidRPr="00000000">
        <w:rPr>
          <w:i w:val="1"/>
          <w:color w:val="000000"/>
          <w:rtl w:val="0"/>
        </w:rPr>
        <w:t xml:space="preserve">Internet</w:t>
      </w:r>
      <w:r w:rsidDel="00000000" w:rsidR="00000000" w:rsidRPr="00000000">
        <w:rPr>
          <w:color w:val="000000"/>
          <w:rtl w:val="0"/>
        </w:rPr>
        <w:t xml:space="preserve">, no endereço eletrônico: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http://bit.ly/selecaodgienap</w:t>
        </w:r>
      </w:hyperlink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u w:val="single"/>
          <w:rtl w:val="0"/>
        </w:rPr>
        <w:t xml:space="preserve">Quando:</w:t>
      </w:r>
      <w:r w:rsidDel="00000000" w:rsidR="00000000" w:rsidRPr="00000000">
        <w:rPr>
          <w:color w:val="000000"/>
          <w:rtl w:val="0"/>
        </w:rPr>
        <w:t xml:space="preserve"> a partir d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 dia 29/01/2020 até dia 12/02/2020 às 23h30min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Sobre as etapas de avaliação</w:t>
      </w:r>
    </w:p>
    <w:tbl>
      <w:tblPr>
        <w:tblStyle w:val="Table2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5"/>
        <w:gridCol w:w="6690"/>
        <w:tblGridChange w:id="0">
          <w:tblGrid>
            <w:gridCol w:w="2625"/>
            <w:gridCol w:w="6690"/>
          </w:tblGrid>
        </w:tblGridChange>
      </w:tblGrid>
      <w:tr>
        <w:tc>
          <w:tcPr>
            <w:tcBorders>
              <w:top w:color="f3f3f3" w:space="0" w:sz="4" w:val="single"/>
              <w:left w:color="f3f3f3" w:space="0" w:sz="4" w:val="single"/>
              <w:bottom w:color="f3f3f3" w:space="0" w:sz="18" w:val="single"/>
              <w:right w:color="f3f3f3" w:space="0" w:sz="4" w:val="single"/>
            </w:tcBorders>
            <w:shd w:fill="266e8b" w:val="clea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right="1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Etapa</w:t>
            </w:r>
          </w:p>
        </w:tc>
        <w:tc>
          <w:tcPr>
            <w:tcBorders>
              <w:top w:color="f3f3f3" w:space="0" w:sz="4" w:val="single"/>
              <w:left w:color="f3f3f3" w:space="0" w:sz="4" w:val="single"/>
              <w:bottom w:color="f3f3f3" w:space="0" w:sz="18" w:val="single"/>
              <w:right w:color="f3f3f3" w:space="0" w:sz="4" w:val="single"/>
            </w:tcBorders>
            <w:shd w:fill="266e8b" w:val="clea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right="1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Descrição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right="12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0" w:right="30" w:firstLine="0"/>
              <w:rPr/>
            </w:pPr>
            <w:r w:rsidDel="00000000" w:rsidR="00000000" w:rsidRPr="00000000">
              <w:rPr>
                <w:rtl w:val="0"/>
              </w:rPr>
              <w:t xml:space="preserve">Os candidatos devem preencher formulário online no qual informam suas experiências e qualificações.  Nesta etapa também serão avaliados conhecimentos específicos para a ocupação do cargo.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right="12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Avaliação </w:t>
            </w:r>
            <w:r w:rsidDel="00000000" w:rsidR="00000000" w:rsidRPr="00000000">
              <w:rPr>
                <w:b w:val="1"/>
                <w:rtl w:val="0"/>
              </w:rPr>
              <w:t xml:space="preserve">curricular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0" w:right="30" w:firstLine="0"/>
              <w:rPr/>
            </w:pPr>
            <w:r w:rsidDel="00000000" w:rsidR="00000000" w:rsidRPr="00000000">
              <w:rPr>
                <w:rtl w:val="0"/>
              </w:rPr>
              <w:t xml:space="preserve">Nesta etapa serão analisadas as informações fornecidas pelos candidatos durante a inscrição.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Avaliação técnico-comportamental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Nesta etapa serão avaliados o perfil do candidato e as competências desenvolvidas ao longo de sua trajetória profissional. O formato será </w:t>
            </w:r>
            <w:r w:rsidDel="00000000" w:rsidR="00000000" w:rsidRPr="00000000">
              <w:rPr>
                <w:i w:val="1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right="1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Documentação Comprobatória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Nesta etapa será solicitado que os candidatos pré-selecionados apresentem documentos comprobatórios. </w:t>
            </w:r>
          </w:p>
        </w:tc>
      </w:tr>
      <w:t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Entrevista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left="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Os finalistas recomendados para a posição serão entrevistados pela ENAP, que será a responsável pela escolha e nomeação do profissional.</w:t>
            </w:r>
          </w:p>
        </w:tc>
      </w:tr>
    </w:tbl>
    <w:p w:rsidR="00000000" w:rsidDel="00000000" w:rsidP="00000000" w:rsidRDefault="00000000" w:rsidRPr="00000000" w14:paraId="00000061">
      <w:pPr>
        <w:spacing w:after="160" w:before="240" w:line="259.2000000000000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b w:val="1"/>
          <w:color w:val="266e8b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9.2000000000000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6e8b"/>
          <w:sz w:val="32"/>
          <w:szCs w:val="32"/>
          <w:u w:val="none"/>
          <w:shd w:fill="auto" w:val="clear"/>
          <w:vertAlign w:val="baseline"/>
          <w:rtl w:val="0"/>
        </w:rPr>
        <w:t xml:space="preserve">Cronograma </w:t>
      </w: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 previsto de pré-seleção</w:t>
      </w: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865"/>
        <w:gridCol w:w="2865"/>
        <w:gridCol w:w="3390"/>
        <w:tblGridChange w:id="0">
          <w:tblGrid>
            <w:gridCol w:w="2865"/>
            <w:gridCol w:w="2865"/>
            <w:gridCol w:w="3390"/>
          </w:tblGrid>
        </w:tblGridChange>
      </w:tblGrid>
      <w:tr>
        <w:trPr>
          <w:trHeight w:val="270" w:hRule="atLeast"/>
        </w:trPr>
        <w:tc>
          <w:tcPr>
            <w:tcBorders>
              <w:top w:color="f3f3f3" w:space="0" w:sz="6" w:val="single"/>
              <w:left w:color="f3f3f3" w:space="0" w:sz="6" w:val="single"/>
              <w:bottom w:color="f3f3f3" w:space="0" w:sz="18" w:val="single"/>
              <w:right w:color="f3f3f3" w:space="0" w:sz="6" w:val="single"/>
            </w:tcBorders>
            <w:shd w:fill="266e8b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Etapa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18" w:val="single"/>
              <w:right w:color="f3f3f3" w:space="0" w:sz="6" w:val="single"/>
            </w:tcBorders>
            <w:shd w:fill="266e8b" w:val="clear"/>
            <w:vAlign w:val="center"/>
          </w:tcPr>
          <w:p w:rsidR="00000000" w:rsidDel="00000000" w:rsidP="00000000" w:rsidRDefault="00000000" w:rsidRPr="00000000" w14:paraId="00000065">
            <w:pPr>
              <w:ind w:left="51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Atividade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18" w:val="single"/>
              <w:right w:color="f3f3f3" w:space="0" w:sz="6" w:val="single"/>
            </w:tcBorders>
            <w:shd w:fill="266e8b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Período</w:t>
            </w:r>
          </w:p>
        </w:tc>
      </w:tr>
      <w:tr>
        <w:trPr>
          <w:trHeight w:val="255" w:hRule="atLeast"/>
        </w:trP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Recrutamento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8">
            <w:pPr>
              <w:ind w:left="5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nscrições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9">
            <w:pPr>
              <w:ind w:left="96" w:right="16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29/01/2020 a 12/02/2020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Pré-seleção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B">
            <w:pPr>
              <w:ind w:left="5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Divulgação dos aprovados em análise curricular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C">
            <w:pPr>
              <w:ind w:left="96" w:right="16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restart"/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Pré-seleção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E">
            <w:pPr>
              <w:ind w:left="5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Realização da avaliação técnica-comportamental </w:t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F">
            <w:pPr>
              <w:ind w:left="96" w:right="16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15/2/2020 a </w:t>
            </w:r>
            <w:r w:rsidDel="00000000" w:rsidR="00000000" w:rsidRPr="00000000">
              <w:rPr>
                <w:rtl w:val="0"/>
              </w:rPr>
              <w:t xml:space="preserve">21/02/2020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2" w:hRule="atLeast"/>
        </w:trPr>
        <w:tc>
          <w:tcPr>
            <w:vMerge w:val="continue"/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1">
            <w:pPr>
              <w:ind w:left="5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Divulgação do resultado </w:t>
            </w:r>
            <w:r w:rsidDel="00000000" w:rsidR="00000000" w:rsidRPr="00000000">
              <w:rPr>
                <w:rtl w:val="0"/>
              </w:rPr>
              <w:t xml:space="preserve">dos candidatos pré-selecionados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2">
            <w:pPr>
              <w:ind w:left="96" w:right="16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até 28/2/2020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2" w:hRule="atLeast"/>
        </w:trPr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Pré-seleção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4">
            <w:pPr>
              <w:ind w:left="5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Recebimento de *documentação comprobatória técnica dos candidatos pré-selecionados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18" w:val="single"/>
              <w:left w:color="f3f3f3" w:space="0" w:sz="18" w:val="single"/>
              <w:bottom w:color="f3f3f3" w:space="0" w:sz="18" w:val="single"/>
              <w:right w:color="f3f3f3" w:space="0" w:sz="1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5">
            <w:pPr>
              <w:ind w:left="96" w:right="16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28/02/2020  a 02/03/2020</w:t>
            </w:r>
          </w:p>
        </w:tc>
      </w:tr>
    </w:tbl>
    <w:p w:rsidR="00000000" w:rsidDel="00000000" w:rsidP="00000000" w:rsidRDefault="00000000" w:rsidRPr="00000000" w14:paraId="00000076">
      <w:pPr>
        <w:keepNext w:val="1"/>
        <w:keepLines w:val="1"/>
        <w:spacing w:after="120" w:before="120" w:line="240" w:lineRule="auto"/>
        <w:jc w:val="right"/>
        <w:rPr/>
      </w:pPr>
      <w:r w:rsidDel="00000000" w:rsidR="00000000" w:rsidRPr="00000000">
        <w:rPr>
          <w:b w:val="1"/>
          <w:color w:val="666666"/>
          <w:sz w:val="16"/>
          <w:szCs w:val="16"/>
          <w:rtl w:val="0"/>
        </w:rPr>
        <w:t xml:space="preserve">*Lista de documentos comprobatórios que deverão ser apresentados pelos candidatos pré-selecionados serão divulgados junto com o resultado final da pré-seleção.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 cronograma pode sofrer alterações a qualquer momento, todas as informações sempre serão atualizadas no site do processo de pré-seleção.</w:t>
      </w:r>
    </w:p>
    <w:p w:rsidR="00000000" w:rsidDel="00000000" w:rsidP="00000000" w:rsidRDefault="00000000" w:rsidRPr="00000000" w14:paraId="00000078">
      <w:pPr>
        <w:rPr>
          <w:b w:val="1"/>
          <w:color w:val="266e8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240" w:line="259.20000000000005" w:lineRule="auto"/>
        <w:rPr/>
      </w:pPr>
      <w:r w:rsidDel="00000000" w:rsidR="00000000" w:rsidRPr="00000000">
        <w:rPr>
          <w:b w:val="1"/>
          <w:color w:val="266e8b"/>
          <w:sz w:val="32"/>
          <w:szCs w:val="32"/>
          <w:rtl w:val="0"/>
        </w:rPr>
        <w:t xml:space="preserve">Fundamentação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59.20000000000005" w:lineRule="auto"/>
        <w:jc w:val="both"/>
        <w:rPr/>
      </w:pPr>
      <w:r w:rsidDel="00000000" w:rsidR="00000000" w:rsidRPr="00000000">
        <w:rPr>
          <w:rtl w:val="0"/>
        </w:rPr>
        <w:t xml:space="preserve">Este processo tem sua fundamentação no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Decreto 9.727</w:t>
        </w:r>
      </w:hyperlink>
      <w:r w:rsidDel="00000000" w:rsidR="00000000" w:rsidRPr="00000000">
        <w:rPr>
          <w:rtl w:val="0"/>
        </w:rPr>
        <w:t xml:space="preserve">, de 15 de março de 2019</w:t>
      </w:r>
      <w:r w:rsidDel="00000000" w:rsidR="00000000" w:rsidRPr="00000000">
        <w:rPr>
          <w:rtl w:val="0"/>
        </w:rPr>
        <w:t xml:space="preserve">. Destacamos  que, conforme artigo 7º,  a </w:t>
      </w:r>
      <w:r w:rsidDel="00000000" w:rsidR="00000000" w:rsidRPr="00000000">
        <w:rPr>
          <w:rtl w:val="0"/>
        </w:rPr>
        <w:t xml:space="preserve">escolha final do candidato é ato discricionário da autoridade responsável pela nomeação ou pela designação. E a participação ou o desempenho neste processo seletivo não gera direito à nomeação ou à designação.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Brasília, 29 de janeiro de 2020.</w:t>
      </w:r>
      <w:r w:rsidDel="00000000" w:rsidR="00000000" w:rsidRPr="00000000">
        <w:rPr>
          <w:rtl w:val="0"/>
        </w:rPr>
      </w:r>
    </w:p>
    <w:sectPr>
      <w:headerReference r:id="rId15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562100" cy="5619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6e8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6e8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nap.gov.br/pt/servicos/processos-seletivos" TargetMode="External"/><Relationship Id="rId10" Type="http://schemas.openxmlformats.org/officeDocument/2006/relationships/hyperlink" Target="http://www.planalto.gov.br/ccivil_03/_Ato2007-2010/2007/Lei/L11526.htm" TargetMode="External"/><Relationship Id="rId13" Type="http://schemas.openxmlformats.org/officeDocument/2006/relationships/hyperlink" Target="http://bit.ly/selecaodgienap" TargetMode="External"/><Relationship Id="rId12" Type="http://schemas.openxmlformats.org/officeDocument/2006/relationships/hyperlink" Target="https://cse.enap.gov.br/citsmart/login/login.lo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.gov.br/web/dou/-/portaria-n-13.400-de-6-de-dezembro-de-2019-232668480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planalto.gov.br/ccivil_03/_ato2019-2022/2019/decreto/D9727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enap.gov.br/index.php/pt/a-enap/quem-somos" TargetMode="External"/><Relationship Id="rId8" Type="http://schemas.openxmlformats.org/officeDocument/2006/relationships/hyperlink" Target="https://drive.google.com/file/d/168i0sKqCZpJk12QqZBi3uEezxcz7WRRR/view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